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EEB17">
      <w:pPr>
        <w:jc w:val="center"/>
        <w:rPr>
          <w:rFonts w:hint="eastAsia" w:eastAsiaTheme="minorEastAsia"/>
          <w:b/>
          <w:bCs/>
          <w:sz w:val="24"/>
          <w:szCs w:val="32"/>
          <w:lang w:val="en-US" w:eastAsia="zh-CN"/>
        </w:rPr>
      </w:pPr>
      <w:r>
        <w:rPr>
          <w:rFonts w:hint="eastAsia" w:eastAsiaTheme="minorEastAsia"/>
          <w:b/>
          <w:bCs/>
          <w:sz w:val="24"/>
          <w:szCs w:val="32"/>
          <w:lang w:val="en-US" w:eastAsia="zh-CN"/>
        </w:rPr>
        <w:t>其他需要说明的事项</w:t>
      </w:r>
    </w:p>
    <w:p w14:paraId="724CFA82">
      <w:pPr>
        <w:spacing w:line="360" w:lineRule="auto"/>
        <w:ind w:firstLine="482" w:firstLineChars="200"/>
        <w:jc w:val="left"/>
        <w:rPr>
          <w:rFonts w:hint="eastAsia"/>
          <w:b/>
          <w:color w:val="auto"/>
          <w:sz w:val="24"/>
          <w:szCs w:val="24"/>
          <w:lang w:val="en-US" w:eastAsia="zh-CN"/>
        </w:rPr>
      </w:pPr>
      <w:r>
        <w:rPr>
          <w:rFonts w:hint="eastAsia"/>
          <w:b/>
          <w:color w:val="auto"/>
          <w:sz w:val="24"/>
          <w:szCs w:val="24"/>
          <w:lang w:val="en-US" w:eastAsia="zh-CN"/>
        </w:rPr>
        <w:t>1、项目概况</w:t>
      </w:r>
    </w:p>
    <w:p w14:paraId="27DDF636">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老河口光联科技有限公司（原老河口光联化工有限公司）成立于 1999 年 12 月，是一家以精细化工产品为主的科技型股份制企业。原厂址位于老河口化工路，随着城市发快速发展，围绕老河口市政府确定的老河口市陈埠科技产业园（化工区）发展建设目标，响应老河口市政府号召，服务整体发展的需要，将企业整体搬迁至老河口陈埠科技产业园。老河口光联科技有限公司以迁入科技产业园为契机，征地 80 亩，投资 4900 万元，建设 800 吨/年建设呋喃系列产品、300 吨/年酮类生产线、1000 吨/年水处理剂生产线、3000 吨/年丙烯酸丁酯生产线。</w:t>
      </w:r>
    </w:p>
    <w:p w14:paraId="23BD2D7B">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根据《建设项目环境保护管理条例》（国务院令第 253 号）等有关文件规定，老河口光联科技有限公司于 2013 年 1 月委托襄阳市环境保护科学研究所对老河口光联科技有限公司精细化工产品生产项目进行环境影响评价工作，襄阳市环境保护科学研究所于 2015 年 1 月编制完成了《老河口光联科技有限公司精细化工产品生产项目环境影响报告书》，2015 年 11 月 18 日襄阳市生态环境局（原襄阳市环保局）以(襄环审[2015]43 号)进行了复核批复（见附件 1）。根据环评文件和批复要求，本项目位于老河口市科技产业园恒二路北侧，项目占地面积 80 亩。项目主要建设呋喃系列车间、丙烯酸酯车间、水处理剂车间、酮类产品车间、锅炉车间、机修车间、仓库、办公楼、科研楼（中试）、配电室、制冷站、贮罐区、倒班宿舍楼等。项目建厂后主要产品产能为2,5二甲氧基二氢呋喃600t/a、2,5二甲氧基四氢呋喃200t/a、四氢噻吩-3-酮300t/a水处理剂HEDP1000t/a、丙烯酸丁酯 3000t/a。</w:t>
      </w:r>
    </w:p>
    <w:p w14:paraId="01ACD98F">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本项目于 2015 年 12 月开工建设，2017 年 4 月建成呋喃系列产品生产装置，但由于邓岗村三组未按计划拆迁完成，影响了公司的工程建设，其中四氢噻吩-3-酮、水处理剂 HEDP、丙烯酸丁酯未能如期建设。公司于 2017 年 5 月委托湖北鲲泽检测有限公司对项目进行了环境保护竣工验收监测。2017 年 9 月 25 日襄阳市行政审批局出具了《关于老河口光联科技有限公司精细化工产品生产项目（一期）竣工环保验收有关意见的函》（襄审批环验[2017]49 号），提出了竣工验收过程中需要整改完善的问题，公司对相关问题均进行了整改完善。根据 2017 年 10 月 1 日起施行的《建设项目环境保护管理条例》（国令第 682 号），老河口光联科技有限公司需要对精细化工产品生产项目进行完成自主环保竣工验收工作，但由于市场原因，后续生产情况不稳定，无法满足竣工环保验收工况要求。随着市场情况的好转，老河口光联科技有限公司拟对精细化工产品生产项目开展自主环保竣工验收工作。相较于上一次验收监测，未建新建相关生产装置，验收范围为 800t/a 呋喃系列产品生产装置，与前一次竣工验收范围一致。</w:t>
      </w:r>
    </w:p>
    <w:p w14:paraId="188093FE">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根据《建设项目竣工环境保护验收暂行办法》等法规文件的要求，老河口光联科技有限公司对该项目进行自主验收。主要工作内容包括：考查“三同时”制度的执行情况；检查环评建议及环评批复要求的落实情况；监测环境保护设施处理效果是否达到预期的设计指标，主要污染物的排放是否符合国家允许的标准限值；检查环境管理情况（包括环保机构设置以及各项规章制度的落实）是否符合要求等。为此，公司组织专业技术人员对该项目进行了实地踏勘和相关资料的收集工作，初步检查了环保设施的配置及运行情况。在此基础上，结合国家有关建设项目竣工验收监测工作的技术要求，编制完成“老河口光联科技有限公司精细化工产品生产项目”竣工环境保护验收监测方案。根据《验收监测方案》，我公司委托湖北博测检测技术有限公司于 2021 年01 月 28~29 日对该项目产生的废水、废气、噪声等进行了监测，以及对固体废物处置去向和环境管理情况进行了调查，在对大量调查资料和监测数据分析的基础上，编制完成了《老河口光联科技有限公司精细化工产品生产项目竣工环境保护验收监测报告》。</w:t>
      </w:r>
    </w:p>
    <w:p w14:paraId="6DDE416F">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2、验收依据</w:t>
      </w:r>
    </w:p>
    <w:p w14:paraId="693E91C5">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2.1 建设项目环境保护相关法律、法规和规章制度</w:t>
      </w:r>
    </w:p>
    <w:p w14:paraId="54F2546D">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（1）《中华人民共和国环境保护法》（2015 年 1 月 1 日）；</w:t>
      </w:r>
    </w:p>
    <w:p w14:paraId="64A18C11">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（2）《中华人民共和国水污染防治法》（2018 年 1 月 1 日）；</w:t>
      </w:r>
    </w:p>
    <w:p w14:paraId="1156D355">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（3）《中华人民共和国大气污染防治法》（2018 年 10 月 26 日修订）；</w:t>
      </w:r>
    </w:p>
    <w:p w14:paraId="156F60DC">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（4）《中华人民共和国环境噪声污染防治法》（2018 年 12 月 29 日主席令第 24 号</w:t>
      </w:r>
    </w:p>
    <w:p w14:paraId="24BF5B9D">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修正）；</w:t>
      </w:r>
    </w:p>
    <w:p w14:paraId="79401447">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（5）《中华人民共和国固体废物污染环境防治法》（2020 年 4 月 29 日修订）；</w:t>
      </w:r>
    </w:p>
    <w:p w14:paraId="030245B7">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（6）《中华人民共和国水土保持法》（2011 年 3 月 1 日）；</w:t>
      </w:r>
    </w:p>
    <w:p w14:paraId="45E9DAC1">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（7）《中华人民共和国水法》（2016 年 7 月 2 日）；</w:t>
      </w:r>
    </w:p>
    <w:p w14:paraId="04B68C06">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（8）《中华人民共和国清洁生产促进法》（2016 年 7 月）；</w:t>
      </w:r>
    </w:p>
    <w:p w14:paraId="0C703FC9">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（9）《中华人民共和国环境影响评价法》（2018 年 12 月 29 日修订）；</w:t>
      </w:r>
    </w:p>
    <w:p w14:paraId="25680195">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（10）《建设项目环境保护管理条例》(国务院第 682 号令)。</w:t>
      </w:r>
    </w:p>
    <w:p w14:paraId="2F0D0826">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2.2 建设项目竣工环境保护验收技术规范</w:t>
      </w:r>
    </w:p>
    <w:p w14:paraId="0AB98AEF">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（1）中华人民共和国国务院令第 682 号《国务院关于修改&lt;建设项目环境保护管理条例&gt;的决定》；</w:t>
      </w:r>
    </w:p>
    <w:p w14:paraId="332639B0">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（2）中华人民共和国环境保护部关于发布《建设项目竣工环境保护验收暂行办法》的公告（国环规环评[2017]4 号）；</w:t>
      </w:r>
    </w:p>
    <w:p w14:paraId="3FF7FE85">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（3）中华人民共和国生态环保部关于发布《建设项目竣工环境保护验收技术指南污染影响类》的公告（公告 2018 年第 9 号）。</w:t>
      </w:r>
    </w:p>
    <w:p w14:paraId="3776728B">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2.3 建设项目环境影响报告书及其审批部门审批决定</w:t>
      </w:r>
    </w:p>
    <w:p w14:paraId="4870C4D3">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（1）襄阳市生态环境局（原襄阳市环境保护局）《关于老河口光联科技有限公司精细化工产品生产项目环境影响报告书复核批复》（襄环审[2015]43 号）；</w:t>
      </w:r>
    </w:p>
    <w:p w14:paraId="6074F047">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（2）襄阳市行政审批局《关于老河口光联科技有限公司精细化工产品生产项目（一期）竣工环保验收有关意见的函》（襄审批环验[2017]49 号）。</w:t>
      </w:r>
    </w:p>
    <w:p w14:paraId="1CF02190">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2.4 其他资料</w:t>
      </w:r>
    </w:p>
    <w:p w14:paraId="07AC1FA9">
      <w:pPr>
        <w:spacing w:line="360" w:lineRule="auto"/>
        <w:ind w:firstLine="480" w:firstLineChars="200"/>
        <w:jc w:val="left"/>
        <w:rPr>
          <w:rFonts w:hint="eastAsia"/>
          <w:b w:val="0"/>
          <w:bCs/>
          <w:color w:val="auto"/>
          <w:sz w:val="24"/>
          <w:szCs w:val="24"/>
          <w:lang w:val="en-US" w:eastAsia="zh-CN"/>
        </w:rPr>
      </w:pPr>
      <w:r>
        <w:rPr>
          <w:rFonts w:hint="eastAsia"/>
          <w:b w:val="0"/>
          <w:bCs/>
          <w:color w:val="auto"/>
          <w:sz w:val="24"/>
          <w:szCs w:val="24"/>
          <w:lang w:val="en-US" w:eastAsia="zh-CN"/>
        </w:rPr>
        <w:t>老河口光联科技有限公司提供的相关资料。</w:t>
      </w:r>
    </w:p>
    <w:p w14:paraId="41C4AA4B">
      <w:pPr>
        <w:spacing w:line="360" w:lineRule="auto"/>
        <w:ind w:firstLine="482" w:firstLineChars="200"/>
        <w:jc w:val="left"/>
        <w:rPr>
          <w:rFonts w:hint="eastAsia"/>
          <w:b/>
          <w:color w:val="auto"/>
          <w:sz w:val="24"/>
          <w:szCs w:val="24"/>
        </w:rPr>
      </w:pPr>
      <w:r>
        <w:rPr>
          <w:rFonts w:hint="eastAsia"/>
          <w:b/>
          <w:color w:val="auto"/>
          <w:sz w:val="24"/>
          <w:szCs w:val="24"/>
          <w:lang w:val="en-US" w:eastAsia="zh-CN"/>
        </w:rPr>
        <w:t>二</w:t>
      </w:r>
      <w:r>
        <w:rPr>
          <w:rFonts w:hint="eastAsia"/>
          <w:b/>
          <w:color w:val="auto"/>
          <w:sz w:val="24"/>
          <w:szCs w:val="24"/>
        </w:rPr>
        <w:t>、工程变动情况</w:t>
      </w:r>
    </w:p>
    <w:p w14:paraId="0993C889">
      <w:pPr>
        <w:spacing w:line="360" w:lineRule="auto"/>
        <w:ind w:firstLine="480" w:firstLineChars="200"/>
        <w:rPr>
          <w:rFonts w:hint="eastAsia"/>
          <w:color w:val="auto"/>
          <w:sz w:val="24"/>
          <w:szCs w:val="24"/>
        </w:rPr>
      </w:pPr>
      <w:r>
        <w:rPr>
          <w:rFonts w:hint="eastAsia"/>
          <w:color w:val="auto"/>
          <w:sz w:val="24"/>
          <w:szCs w:val="24"/>
        </w:rPr>
        <w:t>经现场核查，本项目实际建设过程中与环评变动情况见下表。</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7"/>
        <w:gridCol w:w="1021"/>
        <w:gridCol w:w="2860"/>
        <w:gridCol w:w="2259"/>
        <w:gridCol w:w="2189"/>
      </w:tblGrid>
      <w:tr w14:paraId="45B23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7" w:type="dxa"/>
            <w:noWrap w:val="0"/>
            <w:vAlign w:val="center"/>
          </w:tcPr>
          <w:p w14:paraId="029E994A">
            <w:pPr>
              <w:jc w:val="center"/>
              <w:rPr>
                <w:szCs w:val="21"/>
              </w:rPr>
            </w:pPr>
            <w:r>
              <w:rPr>
                <w:szCs w:val="21"/>
              </w:rPr>
              <w:t>序号</w:t>
            </w:r>
          </w:p>
        </w:tc>
        <w:tc>
          <w:tcPr>
            <w:tcW w:w="1021" w:type="dxa"/>
            <w:noWrap w:val="0"/>
            <w:vAlign w:val="center"/>
          </w:tcPr>
          <w:p w14:paraId="77229112">
            <w:pPr>
              <w:jc w:val="center"/>
              <w:rPr>
                <w:szCs w:val="21"/>
              </w:rPr>
            </w:pPr>
            <w:r>
              <w:rPr>
                <w:szCs w:val="21"/>
              </w:rPr>
              <w:t>类别</w:t>
            </w:r>
          </w:p>
        </w:tc>
        <w:tc>
          <w:tcPr>
            <w:tcW w:w="2860" w:type="dxa"/>
            <w:noWrap w:val="0"/>
            <w:vAlign w:val="center"/>
          </w:tcPr>
          <w:p w14:paraId="08A64F7B">
            <w:pPr>
              <w:jc w:val="center"/>
              <w:rPr>
                <w:szCs w:val="21"/>
              </w:rPr>
            </w:pPr>
            <w:r>
              <w:rPr>
                <w:szCs w:val="21"/>
              </w:rPr>
              <w:t>环评建设内容</w:t>
            </w:r>
          </w:p>
        </w:tc>
        <w:tc>
          <w:tcPr>
            <w:tcW w:w="2259" w:type="dxa"/>
            <w:tcBorders>
              <w:right w:val="single" w:color="auto" w:sz="4" w:space="0"/>
            </w:tcBorders>
            <w:noWrap w:val="0"/>
            <w:vAlign w:val="center"/>
          </w:tcPr>
          <w:p w14:paraId="40105C97">
            <w:pPr>
              <w:jc w:val="center"/>
              <w:rPr>
                <w:szCs w:val="21"/>
              </w:rPr>
            </w:pPr>
            <w:r>
              <w:t>实际建设情况</w:t>
            </w:r>
          </w:p>
        </w:tc>
        <w:tc>
          <w:tcPr>
            <w:tcW w:w="2189" w:type="dxa"/>
            <w:tcBorders>
              <w:left w:val="single" w:color="auto" w:sz="4" w:space="0"/>
            </w:tcBorders>
            <w:noWrap w:val="0"/>
            <w:vAlign w:val="center"/>
          </w:tcPr>
          <w:p w14:paraId="141741D5">
            <w:pPr>
              <w:jc w:val="center"/>
              <w:rPr>
                <w:rFonts w:hint="eastAsia"/>
                <w:szCs w:val="21"/>
              </w:rPr>
            </w:pPr>
            <w:r>
              <w:rPr>
                <w:rFonts w:hint="eastAsia"/>
                <w:szCs w:val="21"/>
              </w:rPr>
              <w:t>重大变动识别</w:t>
            </w:r>
          </w:p>
        </w:tc>
      </w:tr>
      <w:tr w14:paraId="7E185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7" w:type="dxa"/>
            <w:noWrap w:val="0"/>
            <w:vAlign w:val="center"/>
          </w:tcPr>
          <w:p w14:paraId="0E6AFD1D">
            <w:pPr>
              <w:jc w:val="center"/>
              <w:rPr>
                <w:szCs w:val="21"/>
              </w:rPr>
            </w:pPr>
            <w:r>
              <w:rPr>
                <w:szCs w:val="21"/>
              </w:rPr>
              <w:t>1</w:t>
            </w:r>
          </w:p>
        </w:tc>
        <w:tc>
          <w:tcPr>
            <w:tcW w:w="1021" w:type="dxa"/>
            <w:noWrap w:val="0"/>
            <w:vAlign w:val="center"/>
          </w:tcPr>
          <w:p w14:paraId="63EC1E08">
            <w:pPr>
              <w:jc w:val="center"/>
              <w:rPr>
                <w:szCs w:val="21"/>
              </w:rPr>
            </w:pPr>
            <w:r>
              <w:rPr>
                <w:szCs w:val="21"/>
              </w:rPr>
              <w:t>生产规模</w:t>
            </w:r>
            <w:r>
              <w:rPr>
                <w:rFonts w:hint="eastAsia"/>
                <w:szCs w:val="21"/>
              </w:rPr>
              <w:t>（产品方案）</w:t>
            </w:r>
          </w:p>
        </w:tc>
        <w:tc>
          <w:tcPr>
            <w:tcW w:w="2860" w:type="dxa"/>
            <w:noWrap w:val="0"/>
            <w:vAlign w:val="center"/>
          </w:tcPr>
          <w:p w14:paraId="7D121287">
            <w:pPr>
              <w:jc w:val="center"/>
              <w:rPr>
                <w:rFonts w:hint="eastAsia"/>
                <w:szCs w:val="21"/>
              </w:rPr>
            </w:pPr>
            <w:r>
              <w:rPr>
                <w:szCs w:val="21"/>
              </w:rPr>
              <w:t>2,5二甲氧基二氢呋喃600t/a、2,5二甲氧基四氢呋喃200t/a、四氢噻吩-3-酮300t/a、水处理剂HEDP1000t/a、丙烯酸丁酯3000t/a</w:t>
            </w:r>
          </w:p>
        </w:tc>
        <w:tc>
          <w:tcPr>
            <w:tcW w:w="2259" w:type="dxa"/>
            <w:tcBorders>
              <w:right w:val="single" w:color="auto" w:sz="4" w:space="0"/>
            </w:tcBorders>
            <w:noWrap w:val="0"/>
            <w:vAlign w:val="center"/>
          </w:tcPr>
          <w:p w14:paraId="2AD65000">
            <w:pPr>
              <w:jc w:val="center"/>
              <w:rPr>
                <w:szCs w:val="21"/>
              </w:rPr>
            </w:pPr>
            <w:r>
              <w:rPr>
                <w:szCs w:val="21"/>
              </w:rPr>
              <w:t>2,5二甲氧基二氢呋喃600t/a、2,5二甲氧基四氢呋喃200t/a</w:t>
            </w:r>
          </w:p>
        </w:tc>
        <w:tc>
          <w:tcPr>
            <w:tcW w:w="2189" w:type="dxa"/>
            <w:tcBorders>
              <w:left w:val="single" w:color="auto" w:sz="4" w:space="0"/>
            </w:tcBorders>
            <w:noWrap w:val="0"/>
            <w:vAlign w:val="center"/>
          </w:tcPr>
          <w:p w14:paraId="308E7F33">
            <w:pPr>
              <w:jc w:val="center"/>
              <w:rPr>
                <w:szCs w:val="21"/>
              </w:rPr>
            </w:pPr>
            <w:r>
              <w:rPr>
                <w:szCs w:val="21"/>
              </w:rPr>
              <w:t>实际建设部分批复内容，生产工艺由自制呋喃改为外购呋喃原料，其他与环评一致。不属于重大变动。</w:t>
            </w:r>
          </w:p>
        </w:tc>
      </w:tr>
      <w:tr w14:paraId="0C01F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7" w:type="dxa"/>
            <w:noWrap w:val="0"/>
            <w:vAlign w:val="center"/>
          </w:tcPr>
          <w:p w14:paraId="66DC087A">
            <w:pPr>
              <w:jc w:val="center"/>
              <w:rPr>
                <w:szCs w:val="21"/>
              </w:rPr>
            </w:pPr>
            <w:r>
              <w:rPr>
                <w:rFonts w:hint="eastAsia"/>
                <w:szCs w:val="21"/>
              </w:rPr>
              <w:t>2</w:t>
            </w:r>
          </w:p>
        </w:tc>
        <w:tc>
          <w:tcPr>
            <w:tcW w:w="1021" w:type="dxa"/>
            <w:noWrap w:val="0"/>
            <w:vAlign w:val="center"/>
          </w:tcPr>
          <w:p w14:paraId="68C2B8FA">
            <w:pPr>
              <w:jc w:val="center"/>
              <w:rPr>
                <w:szCs w:val="21"/>
              </w:rPr>
            </w:pPr>
            <w:r>
              <w:rPr>
                <w:szCs w:val="21"/>
              </w:rPr>
              <w:t>生产设备</w:t>
            </w:r>
          </w:p>
        </w:tc>
        <w:tc>
          <w:tcPr>
            <w:tcW w:w="2860" w:type="dxa"/>
            <w:noWrap w:val="0"/>
            <w:vAlign w:val="center"/>
          </w:tcPr>
          <w:p w14:paraId="4CDD5F3E">
            <w:pPr>
              <w:jc w:val="center"/>
              <w:rPr>
                <w:szCs w:val="21"/>
              </w:rPr>
            </w:pPr>
            <w:r>
              <w:rPr>
                <w:szCs w:val="21"/>
              </w:rPr>
              <w:t>呋喃系列产品生产装置64台（套）</w:t>
            </w:r>
          </w:p>
        </w:tc>
        <w:tc>
          <w:tcPr>
            <w:tcW w:w="2259" w:type="dxa"/>
            <w:tcBorders>
              <w:right w:val="single" w:color="auto" w:sz="4" w:space="0"/>
            </w:tcBorders>
            <w:noWrap w:val="0"/>
            <w:vAlign w:val="center"/>
          </w:tcPr>
          <w:p w14:paraId="19CB165F">
            <w:pPr>
              <w:jc w:val="center"/>
              <w:rPr>
                <w:szCs w:val="21"/>
              </w:rPr>
            </w:pPr>
            <w:r>
              <w:t>呋喃系列产品生产装置</w:t>
            </w:r>
            <w:r>
              <w:rPr>
                <w:szCs w:val="21"/>
              </w:rPr>
              <w:t>53台（套）</w:t>
            </w:r>
          </w:p>
        </w:tc>
        <w:tc>
          <w:tcPr>
            <w:tcW w:w="2189" w:type="dxa"/>
            <w:tcBorders>
              <w:left w:val="single" w:color="auto" w:sz="4" w:space="0"/>
            </w:tcBorders>
            <w:noWrap w:val="0"/>
            <w:vAlign w:val="center"/>
          </w:tcPr>
          <w:p w14:paraId="2B97769E">
            <w:pPr>
              <w:jc w:val="center"/>
              <w:rPr>
                <w:szCs w:val="21"/>
              </w:rPr>
            </w:pPr>
            <w:r>
              <w:t>设备根据实际情况有所减少，未增加新的污染源。</w:t>
            </w:r>
          </w:p>
        </w:tc>
      </w:tr>
      <w:tr w14:paraId="45DCB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7" w:type="dxa"/>
            <w:noWrap w:val="0"/>
            <w:vAlign w:val="center"/>
          </w:tcPr>
          <w:p w14:paraId="0111929F">
            <w:pPr>
              <w:jc w:val="center"/>
              <w:rPr>
                <w:szCs w:val="21"/>
              </w:rPr>
            </w:pPr>
            <w:r>
              <w:rPr>
                <w:rFonts w:hint="eastAsia"/>
                <w:szCs w:val="21"/>
              </w:rPr>
              <w:t>3</w:t>
            </w:r>
          </w:p>
        </w:tc>
        <w:tc>
          <w:tcPr>
            <w:tcW w:w="1021" w:type="dxa"/>
            <w:noWrap w:val="0"/>
            <w:vAlign w:val="center"/>
          </w:tcPr>
          <w:p w14:paraId="7E0F1220">
            <w:pPr>
              <w:jc w:val="center"/>
              <w:rPr>
                <w:szCs w:val="21"/>
              </w:rPr>
            </w:pPr>
            <w:r>
              <w:rPr>
                <w:szCs w:val="21"/>
              </w:rPr>
              <w:t>生产班制</w:t>
            </w:r>
          </w:p>
        </w:tc>
        <w:tc>
          <w:tcPr>
            <w:tcW w:w="2860" w:type="dxa"/>
            <w:noWrap w:val="0"/>
            <w:vAlign w:val="center"/>
          </w:tcPr>
          <w:p w14:paraId="5D0E7D1C">
            <w:pPr>
              <w:jc w:val="center"/>
              <w:rPr>
                <w:szCs w:val="21"/>
              </w:rPr>
            </w:pPr>
            <w:r>
              <w:rPr>
                <w:szCs w:val="21"/>
              </w:rPr>
              <w:t>全年工作300天，采用四班三运转，每班工作8小时。</w:t>
            </w:r>
          </w:p>
        </w:tc>
        <w:tc>
          <w:tcPr>
            <w:tcW w:w="2259" w:type="dxa"/>
            <w:tcBorders>
              <w:right w:val="single" w:color="auto" w:sz="4" w:space="0"/>
            </w:tcBorders>
            <w:noWrap w:val="0"/>
            <w:vAlign w:val="center"/>
          </w:tcPr>
          <w:p w14:paraId="47364C37">
            <w:pPr>
              <w:jc w:val="center"/>
              <w:rPr>
                <w:szCs w:val="21"/>
              </w:rPr>
            </w:pPr>
            <w:r>
              <w:rPr>
                <w:szCs w:val="21"/>
              </w:rPr>
              <w:t>全年工作300天，采用四班三运转，每班工作8小时。</w:t>
            </w:r>
          </w:p>
        </w:tc>
        <w:tc>
          <w:tcPr>
            <w:tcW w:w="2189" w:type="dxa"/>
            <w:tcBorders>
              <w:left w:val="single" w:color="auto" w:sz="4" w:space="0"/>
            </w:tcBorders>
            <w:noWrap w:val="0"/>
            <w:vAlign w:val="center"/>
          </w:tcPr>
          <w:p w14:paraId="20395AAC">
            <w:pPr>
              <w:jc w:val="center"/>
              <w:rPr>
                <w:szCs w:val="21"/>
              </w:rPr>
            </w:pPr>
            <w:r>
              <w:rPr>
                <w:szCs w:val="21"/>
              </w:rPr>
              <w:t>一致，不属于重大变动</w:t>
            </w:r>
          </w:p>
        </w:tc>
      </w:tr>
      <w:tr w14:paraId="283F3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7" w:type="dxa"/>
            <w:vMerge w:val="restart"/>
            <w:noWrap w:val="0"/>
            <w:vAlign w:val="center"/>
          </w:tcPr>
          <w:p w14:paraId="35EBE76A">
            <w:pPr>
              <w:jc w:val="center"/>
              <w:rPr>
                <w:szCs w:val="21"/>
              </w:rPr>
            </w:pPr>
            <w:r>
              <w:rPr>
                <w:rFonts w:hint="eastAsia"/>
                <w:szCs w:val="21"/>
              </w:rPr>
              <w:t>4</w:t>
            </w:r>
          </w:p>
        </w:tc>
        <w:tc>
          <w:tcPr>
            <w:tcW w:w="1021" w:type="dxa"/>
            <w:vMerge w:val="restart"/>
            <w:noWrap w:val="0"/>
            <w:vAlign w:val="center"/>
          </w:tcPr>
          <w:p w14:paraId="23527765">
            <w:pPr>
              <w:jc w:val="center"/>
              <w:rPr>
                <w:szCs w:val="21"/>
              </w:rPr>
            </w:pPr>
            <w:r>
              <w:rPr>
                <w:szCs w:val="21"/>
              </w:rPr>
              <w:t>废气处理设施</w:t>
            </w:r>
          </w:p>
        </w:tc>
        <w:tc>
          <w:tcPr>
            <w:tcW w:w="2860" w:type="dxa"/>
            <w:noWrap w:val="0"/>
            <w:vAlign w:val="center"/>
          </w:tcPr>
          <w:p w14:paraId="5DCBCBE6">
            <w:pPr>
              <w:jc w:val="center"/>
              <w:rPr>
                <w:color w:val="FF0000"/>
                <w:szCs w:val="21"/>
              </w:rPr>
            </w:pPr>
            <w:r>
              <w:rPr>
                <w:szCs w:val="21"/>
              </w:rPr>
              <w:t>氯化尾气：采用碱液洗涤处理后由1根25m排气筒排放；甲醇尾气经活性炭吸附后与氯化尾气一并经25m排气筒排放</w:t>
            </w:r>
          </w:p>
        </w:tc>
        <w:tc>
          <w:tcPr>
            <w:tcW w:w="2259" w:type="dxa"/>
            <w:tcBorders>
              <w:right w:val="single" w:color="auto" w:sz="4" w:space="0"/>
            </w:tcBorders>
            <w:noWrap w:val="0"/>
            <w:vAlign w:val="center"/>
          </w:tcPr>
          <w:p w14:paraId="42112912">
            <w:pPr>
              <w:jc w:val="center"/>
              <w:rPr>
                <w:color w:val="FF0000"/>
                <w:szCs w:val="21"/>
              </w:rPr>
            </w:pPr>
            <w:r>
              <w:rPr>
                <w:szCs w:val="21"/>
              </w:rPr>
              <w:t>氯化尾气和甲醇尾气经收集后采用</w:t>
            </w:r>
            <w:r>
              <w:rPr>
                <w:rFonts w:hint="eastAsia"/>
                <w:szCs w:val="21"/>
              </w:rPr>
              <w:t>一级碱洗+二级水洗</w:t>
            </w:r>
            <w:r>
              <w:rPr>
                <w:szCs w:val="21"/>
              </w:rPr>
              <w:t>+UV光解+活性炭吸附处理后由1根27m排气筒排放。</w:t>
            </w:r>
          </w:p>
        </w:tc>
        <w:tc>
          <w:tcPr>
            <w:tcW w:w="2189" w:type="dxa"/>
            <w:tcBorders>
              <w:left w:val="single" w:color="auto" w:sz="4" w:space="0"/>
            </w:tcBorders>
            <w:noWrap w:val="0"/>
            <w:vAlign w:val="center"/>
          </w:tcPr>
          <w:p w14:paraId="3469CEAA">
            <w:pPr>
              <w:jc w:val="center"/>
              <w:rPr>
                <w:szCs w:val="21"/>
              </w:rPr>
            </w:pPr>
            <w:r>
              <w:rPr>
                <w:szCs w:val="21"/>
              </w:rPr>
              <w:t>两股废气处理设施由并联改为串联设置，且相较于环评阶段增加了一级水洗+UV光解措施，属于环保措施优化升级，不属于重大变动</w:t>
            </w:r>
          </w:p>
        </w:tc>
      </w:tr>
      <w:tr w14:paraId="32A3FF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7" w:type="dxa"/>
            <w:vMerge w:val="continue"/>
            <w:noWrap w:val="0"/>
            <w:vAlign w:val="center"/>
          </w:tcPr>
          <w:p w14:paraId="4801554C">
            <w:pPr>
              <w:jc w:val="center"/>
              <w:rPr>
                <w:color w:val="FF0000"/>
                <w:szCs w:val="21"/>
              </w:rPr>
            </w:pPr>
          </w:p>
        </w:tc>
        <w:tc>
          <w:tcPr>
            <w:tcW w:w="1021" w:type="dxa"/>
            <w:vMerge w:val="continue"/>
            <w:noWrap w:val="0"/>
            <w:vAlign w:val="center"/>
          </w:tcPr>
          <w:p w14:paraId="7487129E">
            <w:pPr>
              <w:jc w:val="center"/>
              <w:rPr>
                <w:color w:val="FF0000"/>
                <w:szCs w:val="21"/>
              </w:rPr>
            </w:pPr>
          </w:p>
        </w:tc>
        <w:tc>
          <w:tcPr>
            <w:tcW w:w="2860" w:type="dxa"/>
            <w:noWrap w:val="0"/>
            <w:vAlign w:val="center"/>
          </w:tcPr>
          <w:p w14:paraId="72993960">
            <w:pPr>
              <w:jc w:val="center"/>
              <w:rPr>
                <w:rFonts w:hint="eastAsia"/>
                <w:szCs w:val="21"/>
              </w:rPr>
            </w:pPr>
            <w:r>
              <w:rPr>
                <w:szCs w:val="21"/>
              </w:rPr>
              <w:t>锅炉废气经湿式除尘器处理后由35m排气筒排放</w:t>
            </w:r>
          </w:p>
        </w:tc>
        <w:tc>
          <w:tcPr>
            <w:tcW w:w="2259" w:type="dxa"/>
            <w:tcBorders>
              <w:right w:val="single" w:color="auto" w:sz="4" w:space="0"/>
            </w:tcBorders>
            <w:noWrap w:val="0"/>
            <w:vAlign w:val="center"/>
          </w:tcPr>
          <w:p w14:paraId="48432FA4">
            <w:pPr>
              <w:jc w:val="center"/>
              <w:rPr>
                <w:szCs w:val="21"/>
              </w:rPr>
            </w:pPr>
            <w:r>
              <w:rPr>
                <w:szCs w:val="21"/>
              </w:rPr>
              <w:t>由于锅炉改用天然气锅炉，锅炉废气直接经8m排气筒排放</w:t>
            </w:r>
          </w:p>
        </w:tc>
        <w:tc>
          <w:tcPr>
            <w:tcW w:w="2189" w:type="dxa"/>
            <w:tcBorders>
              <w:left w:val="single" w:color="auto" w:sz="4" w:space="0"/>
            </w:tcBorders>
            <w:noWrap w:val="0"/>
            <w:vAlign w:val="center"/>
          </w:tcPr>
          <w:p w14:paraId="6CAC4855">
            <w:pPr>
              <w:jc w:val="center"/>
              <w:rPr>
                <w:szCs w:val="21"/>
              </w:rPr>
            </w:pPr>
            <w:r>
              <w:rPr>
                <w:szCs w:val="21"/>
              </w:rPr>
              <w:t>生产热源采用园区管网，属于技术优化，不属于重大变动。</w:t>
            </w:r>
          </w:p>
        </w:tc>
      </w:tr>
      <w:tr w14:paraId="341F9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7" w:type="dxa"/>
            <w:vMerge w:val="restart"/>
            <w:noWrap w:val="0"/>
            <w:vAlign w:val="center"/>
          </w:tcPr>
          <w:p w14:paraId="5C2FDFDB">
            <w:pPr>
              <w:jc w:val="center"/>
              <w:rPr>
                <w:szCs w:val="21"/>
              </w:rPr>
            </w:pPr>
            <w:r>
              <w:rPr>
                <w:rFonts w:hint="eastAsia"/>
                <w:szCs w:val="21"/>
              </w:rPr>
              <w:t>5</w:t>
            </w:r>
          </w:p>
        </w:tc>
        <w:tc>
          <w:tcPr>
            <w:tcW w:w="1021" w:type="dxa"/>
            <w:vMerge w:val="restart"/>
            <w:noWrap w:val="0"/>
            <w:vAlign w:val="center"/>
          </w:tcPr>
          <w:p w14:paraId="79923833">
            <w:pPr>
              <w:jc w:val="center"/>
              <w:rPr>
                <w:szCs w:val="21"/>
              </w:rPr>
            </w:pPr>
            <w:r>
              <w:rPr>
                <w:szCs w:val="21"/>
              </w:rPr>
              <w:t>废水处理设施</w:t>
            </w:r>
          </w:p>
        </w:tc>
        <w:tc>
          <w:tcPr>
            <w:tcW w:w="2860" w:type="dxa"/>
            <w:noWrap w:val="0"/>
            <w:vAlign w:val="center"/>
          </w:tcPr>
          <w:p w14:paraId="4D724918">
            <w:pPr>
              <w:jc w:val="center"/>
              <w:rPr>
                <w:szCs w:val="21"/>
              </w:rPr>
            </w:pPr>
            <w:r>
              <w:rPr>
                <w:szCs w:val="21"/>
              </w:rPr>
              <w:t>冷却水全部循环使用不外排。</w:t>
            </w:r>
          </w:p>
        </w:tc>
        <w:tc>
          <w:tcPr>
            <w:tcW w:w="2259" w:type="dxa"/>
            <w:tcBorders>
              <w:right w:val="single" w:color="auto" w:sz="4" w:space="0"/>
            </w:tcBorders>
            <w:noWrap w:val="0"/>
            <w:vAlign w:val="center"/>
          </w:tcPr>
          <w:p w14:paraId="2FBD8407">
            <w:pPr>
              <w:jc w:val="center"/>
              <w:rPr>
                <w:szCs w:val="21"/>
              </w:rPr>
            </w:pPr>
            <w:r>
              <w:rPr>
                <w:szCs w:val="21"/>
              </w:rPr>
              <w:t>冷却水全部循环使用不外排。</w:t>
            </w:r>
          </w:p>
        </w:tc>
        <w:tc>
          <w:tcPr>
            <w:tcW w:w="2189" w:type="dxa"/>
            <w:tcBorders>
              <w:left w:val="single" w:color="auto" w:sz="4" w:space="0"/>
            </w:tcBorders>
            <w:noWrap w:val="0"/>
            <w:vAlign w:val="center"/>
          </w:tcPr>
          <w:p w14:paraId="36719FDE">
            <w:pPr>
              <w:jc w:val="center"/>
              <w:rPr>
                <w:szCs w:val="21"/>
              </w:rPr>
            </w:pPr>
            <w:r>
              <w:rPr>
                <w:szCs w:val="21"/>
              </w:rPr>
              <w:t>与原环评一致，不属于重大变动。</w:t>
            </w:r>
          </w:p>
        </w:tc>
      </w:tr>
      <w:tr w14:paraId="3AF62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7" w:type="dxa"/>
            <w:vMerge w:val="continue"/>
            <w:noWrap w:val="0"/>
            <w:vAlign w:val="center"/>
          </w:tcPr>
          <w:p w14:paraId="5DF4BEA6">
            <w:pPr>
              <w:jc w:val="center"/>
              <w:rPr>
                <w:szCs w:val="21"/>
              </w:rPr>
            </w:pPr>
          </w:p>
        </w:tc>
        <w:tc>
          <w:tcPr>
            <w:tcW w:w="1021" w:type="dxa"/>
            <w:vMerge w:val="continue"/>
            <w:noWrap w:val="0"/>
            <w:vAlign w:val="center"/>
          </w:tcPr>
          <w:p w14:paraId="4A10E8B7">
            <w:pPr>
              <w:jc w:val="center"/>
              <w:rPr>
                <w:szCs w:val="21"/>
              </w:rPr>
            </w:pPr>
          </w:p>
        </w:tc>
        <w:tc>
          <w:tcPr>
            <w:tcW w:w="2860" w:type="dxa"/>
            <w:noWrap w:val="0"/>
            <w:vAlign w:val="center"/>
          </w:tcPr>
          <w:p w14:paraId="41E7B8C9">
            <w:pPr>
              <w:jc w:val="center"/>
              <w:rPr>
                <w:szCs w:val="21"/>
              </w:rPr>
            </w:pPr>
            <w:r>
              <w:rPr>
                <w:szCs w:val="21"/>
              </w:rPr>
              <w:t>丙烯酸生产线含酸性废水、设备清洗废水、车间、地面冲洗废水经中和处理，再经有效生化处理后排放。建设初期雨水收集系统，初期雨水进入厂污水处理站处理。</w:t>
            </w:r>
          </w:p>
        </w:tc>
        <w:tc>
          <w:tcPr>
            <w:tcW w:w="2259" w:type="dxa"/>
            <w:tcBorders>
              <w:right w:val="single" w:color="auto" w:sz="4" w:space="0"/>
            </w:tcBorders>
            <w:noWrap w:val="0"/>
            <w:vAlign w:val="center"/>
          </w:tcPr>
          <w:p w14:paraId="1EC6CBED">
            <w:pPr>
              <w:jc w:val="center"/>
              <w:rPr>
                <w:szCs w:val="21"/>
              </w:rPr>
            </w:pPr>
            <w:r>
              <w:rPr>
                <w:szCs w:val="21"/>
              </w:rPr>
              <w:t>设备清洗废水、车间、地面冲洗废水经中和处理，再经有效生化处理后排放。建设</w:t>
            </w:r>
            <w:r>
              <w:rPr>
                <w:rFonts w:hint="eastAsia"/>
                <w:szCs w:val="21"/>
              </w:rPr>
              <w:t>660</w:t>
            </w:r>
            <w:r>
              <w:rPr>
                <w:szCs w:val="21"/>
              </w:rPr>
              <w:t>m</w:t>
            </w:r>
            <w:r>
              <w:rPr>
                <w:szCs w:val="21"/>
                <w:vertAlign w:val="superscript"/>
              </w:rPr>
              <w:t>3</w:t>
            </w:r>
            <w:r>
              <w:rPr>
                <w:szCs w:val="21"/>
              </w:rPr>
              <w:t>初期雨水收集系统，初期雨水进入厂污水处理站处理。</w:t>
            </w:r>
          </w:p>
        </w:tc>
        <w:tc>
          <w:tcPr>
            <w:tcW w:w="2189" w:type="dxa"/>
            <w:tcBorders>
              <w:left w:val="single" w:color="auto" w:sz="4" w:space="0"/>
            </w:tcBorders>
            <w:noWrap w:val="0"/>
            <w:vAlign w:val="center"/>
          </w:tcPr>
          <w:p w14:paraId="3183B1BE">
            <w:pPr>
              <w:jc w:val="center"/>
              <w:rPr>
                <w:szCs w:val="21"/>
              </w:rPr>
            </w:pPr>
            <w:r>
              <w:rPr>
                <w:szCs w:val="21"/>
              </w:rPr>
              <w:t>未建设丙烯酸生产线，无相应废水，不属于重大变动。</w:t>
            </w:r>
          </w:p>
        </w:tc>
      </w:tr>
      <w:tr w14:paraId="591FC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7" w:type="dxa"/>
            <w:noWrap w:val="0"/>
            <w:vAlign w:val="center"/>
          </w:tcPr>
          <w:p w14:paraId="398FD70D">
            <w:pPr>
              <w:jc w:val="center"/>
              <w:rPr>
                <w:szCs w:val="21"/>
              </w:rPr>
            </w:pPr>
            <w:r>
              <w:rPr>
                <w:rFonts w:hint="eastAsia"/>
                <w:szCs w:val="21"/>
              </w:rPr>
              <w:t>6</w:t>
            </w:r>
          </w:p>
        </w:tc>
        <w:tc>
          <w:tcPr>
            <w:tcW w:w="1021" w:type="dxa"/>
            <w:noWrap w:val="0"/>
            <w:vAlign w:val="center"/>
          </w:tcPr>
          <w:p w14:paraId="7A625946">
            <w:pPr>
              <w:jc w:val="center"/>
              <w:rPr>
                <w:szCs w:val="21"/>
              </w:rPr>
            </w:pPr>
            <w:r>
              <w:rPr>
                <w:rFonts w:hint="eastAsia"/>
                <w:szCs w:val="21"/>
              </w:rPr>
              <w:t>平面布局</w:t>
            </w:r>
          </w:p>
        </w:tc>
        <w:tc>
          <w:tcPr>
            <w:tcW w:w="5119" w:type="dxa"/>
            <w:gridSpan w:val="2"/>
            <w:tcBorders>
              <w:right w:val="single" w:color="auto" w:sz="4" w:space="0"/>
            </w:tcBorders>
            <w:noWrap w:val="0"/>
            <w:vAlign w:val="center"/>
          </w:tcPr>
          <w:p w14:paraId="32545EF4">
            <w:pPr>
              <w:jc w:val="center"/>
              <w:rPr>
                <w:szCs w:val="21"/>
              </w:rPr>
            </w:pPr>
            <w:r>
              <w:rPr>
                <w:rFonts w:hint="eastAsia"/>
                <w:szCs w:val="21"/>
              </w:rPr>
              <w:t>建设前后，全厂平面布局无变化</w:t>
            </w:r>
          </w:p>
        </w:tc>
        <w:tc>
          <w:tcPr>
            <w:tcW w:w="2189" w:type="dxa"/>
            <w:tcBorders>
              <w:left w:val="single" w:color="auto" w:sz="4" w:space="0"/>
            </w:tcBorders>
            <w:noWrap w:val="0"/>
            <w:vAlign w:val="center"/>
          </w:tcPr>
          <w:p w14:paraId="7815D948">
            <w:pPr>
              <w:jc w:val="center"/>
              <w:rPr>
                <w:szCs w:val="21"/>
              </w:rPr>
            </w:pPr>
            <w:r>
              <w:rPr>
                <w:szCs w:val="21"/>
              </w:rPr>
              <w:t>不属于重大变</w:t>
            </w:r>
            <w:r>
              <w:rPr>
                <w:rFonts w:hint="eastAsia"/>
                <w:szCs w:val="21"/>
              </w:rPr>
              <w:t>动</w:t>
            </w:r>
            <w:r>
              <w:rPr>
                <w:szCs w:val="21"/>
              </w:rPr>
              <w:t>。</w:t>
            </w:r>
          </w:p>
        </w:tc>
      </w:tr>
      <w:tr w14:paraId="15AA3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7" w:type="dxa"/>
            <w:noWrap w:val="0"/>
            <w:vAlign w:val="center"/>
          </w:tcPr>
          <w:p w14:paraId="1B17FC3F">
            <w:pPr>
              <w:jc w:val="center"/>
              <w:rPr>
                <w:szCs w:val="21"/>
              </w:rPr>
            </w:pPr>
            <w:r>
              <w:rPr>
                <w:rFonts w:hint="eastAsia"/>
                <w:szCs w:val="21"/>
              </w:rPr>
              <w:t>7</w:t>
            </w:r>
          </w:p>
        </w:tc>
        <w:tc>
          <w:tcPr>
            <w:tcW w:w="1021" w:type="dxa"/>
            <w:noWrap w:val="0"/>
            <w:vAlign w:val="center"/>
          </w:tcPr>
          <w:p w14:paraId="5E667351">
            <w:pPr>
              <w:jc w:val="center"/>
              <w:rPr>
                <w:rFonts w:hint="eastAsia"/>
                <w:szCs w:val="21"/>
              </w:rPr>
            </w:pPr>
            <w:r>
              <w:rPr>
                <w:rFonts w:hint="eastAsia"/>
                <w:szCs w:val="21"/>
              </w:rPr>
              <w:t>原辅料消耗</w:t>
            </w:r>
          </w:p>
        </w:tc>
        <w:tc>
          <w:tcPr>
            <w:tcW w:w="7308" w:type="dxa"/>
            <w:gridSpan w:val="3"/>
            <w:noWrap w:val="0"/>
            <w:vAlign w:val="center"/>
          </w:tcPr>
          <w:p w14:paraId="12251F89">
            <w:pPr>
              <w:jc w:val="center"/>
              <w:rPr>
                <w:szCs w:val="21"/>
              </w:rPr>
            </w:pPr>
            <w:r>
              <w:rPr>
                <w:szCs w:val="21"/>
              </w:rPr>
              <w:t>原环评中采用糠醛为原料生产呋喃，实际生产中外购呋喃</w:t>
            </w:r>
            <w:r>
              <w:rPr>
                <w:rFonts w:hint="eastAsia"/>
                <w:szCs w:val="21"/>
              </w:rPr>
              <w:t>原料</w:t>
            </w:r>
            <w:r>
              <w:rPr>
                <w:szCs w:val="21"/>
              </w:rPr>
              <w:t>进行生产；原环评中采用燃煤作为热源，实际生产中采用园区蒸汽管网提供热源</w:t>
            </w:r>
            <w:r>
              <w:rPr>
                <w:rFonts w:hint="eastAsia"/>
                <w:szCs w:val="21"/>
              </w:rPr>
              <w:t>，不属于重大变动。</w:t>
            </w:r>
          </w:p>
        </w:tc>
      </w:tr>
      <w:tr w14:paraId="5A353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7" w:type="dxa"/>
            <w:noWrap w:val="0"/>
            <w:vAlign w:val="center"/>
          </w:tcPr>
          <w:p w14:paraId="12C7F3F2">
            <w:pPr>
              <w:jc w:val="center"/>
              <w:rPr>
                <w:rFonts w:hint="eastAsia"/>
                <w:szCs w:val="21"/>
              </w:rPr>
            </w:pPr>
            <w:r>
              <w:rPr>
                <w:rFonts w:hint="eastAsia"/>
                <w:szCs w:val="21"/>
              </w:rPr>
              <w:t>8</w:t>
            </w:r>
          </w:p>
        </w:tc>
        <w:tc>
          <w:tcPr>
            <w:tcW w:w="1021" w:type="dxa"/>
            <w:noWrap w:val="0"/>
            <w:vAlign w:val="center"/>
          </w:tcPr>
          <w:p w14:paraId="0EF0AEB4">
            <w:pPr>
              <w:jc w:val="center"/>
              <w:rPr>
                <w:rFonts w:hint="eastAsia"/>
                <w:szCs w:val="21"/>
              </w:rPr>
            </w:pPr>
            <w:r>
              <w:rPr>
                <w:rFonts w:hint="eastAsia"/>
                <w:szCs w:val="21"/>
              </w:rPr>
              <w:t>周边环境保护目标分布</w:t>
            </w:r>
          </w:p>
        </w:tc>
        <w:tc>
          <w:tcPr>
            <w:tcW w:w="7308" w:type="dxa"/>
            <w:gridSpan w:val="3"/>
            <w:noWrap w:val="0"/>
            <w:vAlign w:val="center"/>
          </w:tcPr>
          <w:p w14:paraId="0F66FE0A">
            <w:pPr>
              <w:jc w:val="center"/>
              <w:rPr>
                <w:szCs w:val="21"/>
              </w:rPr>
            </w:pPr>
            <w:r>
              <w:rPr>
                <w:rFonts w:hint="eastAsia"/>
                <w:szCs w:val="21"/>
              </w:rPr>
              <w:t>根据现场踏勘，本项目周边环境保护目标与环评阶段基本一致。</w:t>
            </w:r>
          </w:p>
        </w:tc>
      </w:tr>
    </w:tbl>
    <w:p w14:paraId="033C5A91">
      <w:pPr>
        <w:rPr>
          <w:rFonts w:hint="eastAsia" w:eastAsiaTheme="minorEastAsia"/>
          <w:lang w:val="en-US" w:eastAsia="zh-CN"/>
        </w:rPr>
      </w:pPr>
    </w:p>
    <w:p w14:paraId="497A5559">
      <w:pPr>
        <w:numPr>
          <w:numId w:val="0"/>
        </w:numPr>
        <w:rPr>
          <w:rFonts w:hint="eastAsia"/>
          <w:lang w:val="en-US" w:eastAsia="zh-CN"/>
        </w:rPr>
      </w:pPr>
      <w:r>
        <w:rPr>
          <w:rFonts w:hint="eastAsia"/>
          <w:lang w:val="en-US" w:eastAsia="zh-CN"/>
        </w:rPr>
        <w:t>三、</w:t>
      </w:r>
      <w:bookmarkStart w:id="0" w:name="_GoBack"/>
      <w:bookmarkEnd w:id="0"/>
      <w:r>
        <w:rPr>
          <w:rFonts w:hint="eastAsia"/>
          <w:lang w:val="en-US" w:eastAsia="zh-CN"/>
        </w:rPr>
        <w:t>本项目环评审批意见及落实情况</w:t>
      </w:r>
    </w:p>
    <w:p w14:paraId="797E90DB">
      <w:pPr>
        <w:numPr>
          <w:numId w:val="0"/>
        </w:numPr>
        <w:rPr>
          <w:rFonts w:hint="default"/>
          <w:lang w:val="en-US" w:eastAsia="zh-CN"/>
        </w:rPr>
      </w:pPr>
      <w:r>
        <w:rPr>
          <w:rFonts w:hint="default"/>
          <w:lang w:val="en-US" w:eastAsia="zh-CN"/>
        </w:rPr>
        <w:drawing>
          <wp:inline distT="0" distB="0" distL="114300" distR="114300">
            <wp:extent cx="5271770" cy="5179060"/>
            <wp:effectExtent l="0" t="0" r="1270" b="2540"/>
            <wp:docPr id="1" name="图片 1" descr="b6650a1d-7058-4d7c-93d7-1540c806de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6650a1d-7058-4d7c-93d7-1540c806de9b"/>
                    <pic:cNvPicPr>
                      <a:picLocks noChangeAspect="1"/>
                    </pic:cNvPicPr>
                  </pic:nvPicPr>
                  <pic:blipFill>
                    <a:blip r:embed="rId4"/>
                    <a:stretch>
                      <a:fillRect/>
                    </a:stretch>
                  </pic:blipFill>
                  <pic:spPr>
                    <a:xfrm>
                      <a:off x="0" y="0"/>
                      <a:ext cx="5271770" cy="5179060"/>
                    </a:xfrm>
                    <a:prstGeom prst="rect">
                      <a:avLst/>
                    </a:prstGeom>
                  </pic:spPr>
                </pic:pic>
              </a:graphicData>
            </a:graphic>
          </wp:inline>
        </w:drawing>
      </w:r>
    </w:p>
    <w:p w14:paraId="392FDC99">
      <w:pPr>
        <w:numPr>
          <w:numId w:val="0"/>
        </w:numPr>
        <w:rPr>
          <w:rFonts w:hint="default"/>
          <w:lang w:val="en-US" w:eastAsia="zh-CN"/>
        </w:rPr>
      </w:pPr>
      <w:r>
        <w:rPr>
          <w:rFonts w:hint="default"/>
          <w:lang w:val="en-US" w:eastAsia="zh-CN"/>
        </w:rPr>
        <w:drawing>
          <wp:inline distT="0" distB="0" distL="114300" distR="114300">
            <wp:extent cx="5274310" cy="6337935"/>
            <wp:effectExtent l="0" t="0" r="13970" b="1905"/>
            <wp:docPr id="2" name="图片 2" descr="0204dc7c-1bd4-4ac3-8cb6-550f31dc30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204dc7c-1bd4-4ac3-8cb6-550f31dc302e"/>
                    <pic:cNvPicPr>
                      <a:picLocks noChangeAspect="1"/>
                    </pic:cNvPicPr>
                  </pic:nvPicPr>
                  <pic:blipFill>
                    <a:blip r:embed="rId5"/>
                    <a:stretch>
                      <a:fillRect/>
                    </a:stretch>
                  </pic:blipFill>
                  <pic:spPr>
                    <a:xfrm>
                      <a:off x="0" y="0"/>
                      <a:ext cx="5274310" cy="6337935"/>
                    </a:xfrm>
                    <a:prstGeom prst="rect">
                      <a:avLst/>
                    </a:prstGeom>
                  </pic:spPr>
                </pic:pic>
              </a:graphicData>
            </a:graphic>
          </wp:inline>
        </w:drawing>
      </w:r>
    </w:p>
    <w:p w14:paraId="4727DF0F">
      <w:pPr>
        <w:numPr>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41794"/>
    <w:rsid w:val="03441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2025-10-22T07:30:00Z</dcterms:created>
  <dc:creator>水木年华</dc:creator>
  <cp:lastModifiedBy>水木年华</cp:lastModifiedBy>
  <dcterms:modified xsi:type="dcterms:W3CDTF">2025-10-22T07:37:50Z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2DCE3044555243519316880BF7564ADC_11</vt:lpwstr>
  </property>
  <property fmtid="{D5CDD505-2E9C-101B-9397-08002B2CF9AE}" pid="4" name="KSOTemplateDocerSaveRecord">
    <vt:lpwstr>eyJoZGlkIjoiMGI4ZWM5OTQ1NGIwN2EwYjVmYTZiNWJmMGRkYTFkM2UiLCJ1c2VySWQiOiI0MDY1MzY5OTYifQ==</vt:lpwstr>
  </property>
</Properties>
</file>